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FE12" w14:textId="5471F329" w:rsidR="002E2B24" w:rsidRPr="00EF5B78" w:rsidRDefault="008D0304" w:rsidP="008D0304">
      <w:pPr>
        <w:spacing w:line="560" w:lineRule="exact"/>
        <w:jc w:val="center"/>
        <w:rPr>
          <w:rFonts w:ascii="標楷體" w:eastAsia="標楷體" w:hAnsi="標楷體"/>
          <w:color w:val="FF0000"/>
          <w:sz w:val="28"/>
          <w:szCs w:val="28"/>
        </w:rPr>
      </w:pPr>
      <w:r>
        <w:rPr>
          <w:rFonts w:ascii="標楷體" w:eastAsia="標楷體" w:hAnsi="標楷體" w:cs="新細明體" w:hint="eastAsia"/>
          <w:b/>
          <w:color w:val="FF0000"/>
          <w:kern w:val="0"/>
          <w:sz w:val="56"/>
          <w:szCs w:val="56"/>
        </w:rPr>
        <w:t xml:space="preserve">      </w:t>
      </w:r>
      <w:r w:rsidR="002E2B24" w:rsidRPr="002E2B24">
        <w:rPr>
          <w:rFonts w:ascii="標楷體" w:eastAsia="標楷體" w:hAnsi="標楷體" w:cs="新細明體" w:hint="eastAsia"/>
          <w:b/>
          <w:color w:val="FF0000"/>
          <w:kern w:val="0"/>
          <w:sz w:val="56"/>
          <w:szCs w:val="56"/>
        </w:rPr>
        <w:t>消費者保護宣導</w:t>
      </w:r>
      <w:r w:rsidR="002E2B24" w:rsidRPr="00EF5B78">
        <w:rPr>
          <w:rFonts w:ascii="標楷體" w:eastAsia="標楷體" w:hAnsi="標楷體" w:cs="新細明體" w:hint="eastAsia"/>
          <w:b/>
          <w:color w:val="993366"/>
          <w:kern w:val="0"/>
          <w:sz w:val="28"/>
          <w:szCs w:val="28"/>
        </w:rPr>
        <w:t xml:space="preserve"> </w:t>
      </w:r>
      <w:r w:rsidR="002E2B24" w:rsidRPr="00EF5B78">
        <w:rPr>
          <w:rFonts w:ascii="標楷體" w:eastAsia="標楷體" w:hAnsi="標楷體" w:cs="新細明體" w:hint="eastAsia"/>
          <w:color w:val="FF0000"/>
          <w:kern w:val="0"/>
          <w:sz w:val="28"/>
          <w:szCs w:val="28"/>
        </w:rPr>
        <w:t xml:space="preserve"> </w:t>
      </w:r>
      <w:r w:rsidR="002E2B24">
        <w:rPr>
          <w:rFonts w:ascii="標楷體" w:eastAsia="標楷體" w:hAnsi="標楷體" w:cs="新細明體" w:hint="eastAsia"/>
          <w:color w:val="FF0000"/>
          <w:kern w:val="0"/>
          <w:sz w:val="28"/>
          <w:szCs w:val="28"/>
        </w:rPr>
        <w:t xml:space="preserve">  </w:t>
      </w:r>
      <w:r w:rsidR="002E2B24" w:rsidRPr="008244E6">
        <w:rPr>
          <w:rFonts w:ascii="標楷體" w:eastAsia="標楷體" w:hAnsi="標楷體" w:cs="新細明體" w:hint="eastAsia"/>
          <w:b/>
          <w:color w:val="E97132" w:themeColor="accent2"/>
          <w:kern w:val="0"/>
          <w:sz w:val="28"/>
          <w:szCs w:val="28"/>
        </w:rPr>
        <w:t>【113.8】</w:t>
      </w:r>
    </w:p>
    <w:tbl>
      <w:tblPr>
        <w:tblW w:w="0" w:type="auto"/>
        <w:tblBorders>
          <w:top w:val="thickThinSmallGap" w:sz="24" w:space="0" w:color="C45911"/>
          <w:left w:val="thickThinSmallGap" w:sz="24" w:space="0" w:color="C45911"/>
          <w:bottom w:val="thickThinSmallGap" w:sz="24" w:space="0" w:color="C45911"/>
          <w:right w:val="thickThinSmallGap" w:sz="24" w:space="0" w:color="C45911"/>
          <w:insideH w:val="thickThinSmallGap" w:sz="24" w:space="0" w:color="C45911"/>
          <w:insideV w:val="thickThinSmallGap" w:sz="24" w:space="0" w:color="C45911"/>
        </w:tblBorders>
        <w:tblLook w:val="01E0" w:firstRow="1" w:lastRow="1" w:firstColumn="1" w:lastColumn="1" w:noHBand="0" w:noVBand="0"/>
      </w:tblPr>
      <w:tblGrid>
        <w:gridCol w:w="8230"/>
      </w:tblGrid>
      <w:tr w:rsidR="002E2B24" w:rsidRPr="005D6E93" w14:paraId="113A0E60" w14:textId="77777777" w:rsidTr="008D0304">
        <w:trPr>
          <w:trHeight w:val="3741"/>
        </w:trPr>
        <w:tc>
          <w:tcPr>
            <w:tcW w:w="9540" w:type="dxa"/>
            <w:tcBorders>
              <w:top w:val="thickThinSmallGap" w:sz="18" w:space="0" w:color="C45911"/>
              <w:left w:val="thickThinSmallGap" w:sz="18" w:space="0" w:color="C45911"/>
              <w:bottom w:val="thickThinSmallGap" w:sz="18" w:space="0" w:color="C45911"/>
              <w:right w:val="thickThinSmallGap" w:sz="18" w:space="0" w:color="C45911"/>
            </w:tcBorders>
            <w:shd w:val="clear" w:color="auto" w:fill="auto"/>
            <w:vAlign w:val="center"/>
          </w:tcPr>
          <w:p w14:paraId="0C5A7698" w14:textId="77777777" w:rsidR="002E2B24" w:rsidRPr="002E2B24" w:rsidRDefault="002E2B24" w:rsidP="002E2B24">
            <w:pPr>
              <w:widowControl/>
              <w:rPr>
                <w:rFonts w:ascii="新細明體" w:hAnsi="新細明體" w:cs="新細明體"/>
                <w:kern w:val="0"/>
                <w:sz w:val="44"/>
                <w:szCs w:val="44"/>
              </w:rPr>
            </w:pPr>
            <w:r w:rsidRPr="002E2B24">
              <w:rPr>
                <w:rFonts w:ascii="微軟正黑體" w:eastAsia="微軟正黑體" w:hAnsi="微軟正黑體" w:cs="新細明體" w:hint="eastAsia"/>
                <w:b/>
                <w:bCs/>
                <w:color w:val="67BA78"/>
                <w:spacing w:val="15"/>
                <w:kern w:val="0"/>
                <w:sz w:val="44"/>
                <w:szCs w:val="44"/>
              </w:rPr>
              <w:t>金管會提醒民眾投保利率變動型保險商品應注意事項</w:t>
            </w:r>
          </w:p>
          <w:p w14:paraId="3FA7C938" w14:textId="77777777" w:rsidR="002E2B24" w:rsidRPr="002E2B24" w:rsidRDefault="002E2B24" w:rsidP="002E2B24">
            <w:pPr>
              <w:widowControl/>
              <w:spacing w:line="595" w:lineRule="atLeast"/>
              <w:rPr>
                <w:rFonts w:ascii="微軟正黑體" w:eastAsia="微軟正黑體" w:hAnsi="微軟正黑體" w:cs="新細明體"/>
                <w:color w:val="000000"/>
                <w:spacing w:val="15"/>
                <w:kern w:val="0"/>
                <w:sz w:val="33"/>
                <w:szCs w:val="33"/>
              </w:rPr>
            </w:pPr>
            <w:r w:rsidRPr="002E2B24">
              <w:rPr>
                <w:rFonts w:ascii="微軟正黑體" w:eastAsia="微軟正黑體" w:hAnsi="微軟正黑體" w:cs="新細明體" w:hint="eastAsia"/>
                <w:color w:val="000000"/>
                <w:spacing w:val="15"/>
                <w:kern w:val="0"/>
                <w:sz w:val="33"/>
                <w:szCs w:val="33"/>
              </w:rPr>
              <w:t>利率變動型保險商品係指含有「宣告利率」之人身保險商品，金管會提醒，此類商品之本質仍為保險商品，且宣告利率並非保證利率，也不等同投資報酬率，民眾購買時不宜僅以宣告利率高低作為唯一考量，購買前應詳細了解商品內容，並審慎評估自身保險保障需求。</w:t>
            </w:r>
            <w:r w:rsidRPr="002E2B24">
              <w:rPr>
                <w:rFonts w:ascii="微軟正黑體" w:eastAsia="微軟正黑體" w:hAnsi="微軟正黑體" w:cs="新細明體" w:hint="eastAsia"/>
                <w:color w:val="000000"/>
                <w:spacing w:val="15"/>
                <w:kern w:val="0"/>
                <w:sz w:val="33"/>
                <w:szCs w:val="33"/>
              </w:rPr>
              <w:br/>
              <w:t>金管會表示，目前市場上常見之利率變動型保險商品類型包括:利率變動型人壽保險及利率變動型年金保險。一般而言，利率變動型保險與一般傳統型人身保險最大差異點在於額外提供宣告利率累積部分保單價值，以作為未來相關回饋之依據。宣告利率之目的在於建立對保戶之利率回饋機制，讓保戶在市場利率上升時，可能因該保單對應之資產投資績效超過保單預定利率，透過宣告利率的設計及增值回饋分享金的給付增加額外保單利益，但宣告利率</w:t>
            </w:r>
            <w:r w:rsidRPr="002E2B24">
              <w:rPr>
                <w:rFonts w:ascii="微軟正黑體" w:eastAsia="微軟正黑體" w:hAnsi="微軟正黑體" w:cs="新細明體" w:hint="eastAsia"/>
                <w:color w:val="000000"/>
                <w:spacing w:val="15"/>
                <w:kern w:val="0"/>
                <w:sz w:val="33"/>
                <w:szCs w:val="33"/>
              </w:rPr>
              <w:lastRenderedPageBreak/>
              <w:t>並非固定或保證之利率，保險公司會定期公布各商品適用之宣告利率，該利率之適用期間會依商品設計有所不同(常見為1個月或1年)。 </w:t>
            </w:r>
            <w:r w:rsidRPr="002E2B24">
              <w:rPr>
                <w:rFonts w:ascii="微軟正黑體" w:eastAsia="微軟正黑體" w:hAnsi="微軟正黑體" w:cs="新細明體" w:hint="eastAsia"/>
                <w:color w:val="000000"/>
                <w:spacing w:val="15"/>
                <w:kern w:val="0"/>
                <w:sz w:val="33"/>
                <w:szCs w:val="33"/>
              </w:rPr>
              <w:br/>
              <w:t>金管會提醒消費者，投保利率變動型保險商品前應注意下列事項，以避免日後消費爭議：</w:t>
            </w:r>
            <w:r w:rsidRPr="002E2B24">
              <w:rPr>
                <w:rFonts w:ascii="微軟正黑體" w:eastAsia="微軟正黑體" w:hAnsi="微軟正黑體" w:cs="新細明體" w:hint="eastAsia"/>
                <w:color w:val="000000"/>
                <w:spacing w:val="15"/>
                <w:kern w:val="0"/>
                <w:sz w:val="33"/>
                <w:szCs w:val="33"/>
              </w:rPr>
              <w:br/>
              <w:t>一、宣告利率是指保險公司將保戶所繳交之保險費作有效的資金運用，並就其所獲得的投資報酬扣除相關行政費用率後，用以計算增值回饋等額外保單利益的利率，並非固定或保證之利率，也不等同於投資報酬率。</w:t>
            </w:r>
            <w:r w:rsidRPr="002E2B24">
              <w:rPr>
                <w:rFonts w:ascii="微軟正黑體" w:eastAsia="微軟正黑體" w:hAnsi="微軟正黑體" w:cs="新細明體" w:hint="eastAsia"/>
                <w:color w:val="000000"/>
                <w:spacing w:val="15"/>
                <w:kern w:val="0"/>
                <w:sz w:val="33"/>
                <w:szCs w:val="33"/>
              </w:rPr>
              <w:br/>
              <w:t>二、各公司對利率變動型保險之宣告利率雖有高低差異，消費者於購買此類商品時，不宜僅以宣告利率高低作為唯一考量，同時也要瞭解各公司宣告政策及歷史宣告利率情形。</w:t>
            </w:r>
            <w:r w:rsidRPr="002E2B24">
              <w:rPr>
                <w:rFonts w:ascii="微軟正黑體" w:eastAsia="微軟正黑體" w:hAnsi="微軟正黑體" w:cs="新細明體" w:hint="eastAsia"/>
                <w:color w:val="000000"/>
                <w:spacing w:val="15"/>
                <w:kern w:val="0"/>
                <w:sz w:val="33"/>
                <w:szCs w:val="33"/>
              </w:rPr>
              <w:br/>
              <w:t>三、利率變動型保險商品雖具有宣告利率機制，但因其為長期契約，若保戶欲辦理提前解約，保險公司仍會收取解約費用，保戶可能因提前解約而導致無法拿回所繳保險費之全部金額。</w:t>
            </w:r>
            <w:r w:rsidRPr="002E2B24">
              <w:rPr>
                <w:rFonts w:ascii="微軟正黑體" w:eastAsia="微軟正黑體" w:hAnsi="微軟正黑體" w:cs="新細明體" w:hint="eastAsia"/>
                <w:color w:val="000000"/>
                <w:spacing w:val="15"/>
                <w:kern w:val="0"/>
                <w:sz w:val="33"/>
                <w:szCs w:val="33"/>
              </w:rPr>
              <w:br/>
              <w:t>四、另外幣收付之利率變動型保險商品，其保險費</w:t>
            </w:r>
            <w:r w:rsidRPr="002E2B24">
              <w:rPr>
                <w:rFonts w:ascii="微軟正黑體" w:eastAsia="微軟正黑體" w:hAnsi="微軟正黑體" w:cs="新細明體" w:hint="eastAsia"/>
                <w:color w:val="000000"/>
                <w:spacing w:val="15"/>
                <w:kern w:val="0"/>
                <w:sz w:val="33"/>
                <w:szCs w:val="33"/>
              </w:rPr>
              <w:lastRenderedPageBreak/>
              <w:t>及保險金等款項給付</w:t>
            </w:r>
            <w:proofErr w:type="gramStart"/>
            <w:r w:rsidRPr="002E2B24">
              <w:rPr>
                <w:rFonts w:ascii="微軟正黑體" w:eastAsia="微軟正黑體" w:hAnsi="微軟正黑體" w:cs="新細明體" w:hint="eastAsia"/>
                <w:color w:val="000000"/>
                <w:spacing w:val="15"/>
                <w:kern w:val="0"/>
                <w:sz w:val="33"/>
                <w:szCs w:val="33"/>
              </w:rPr>
              <w:t>之幣別均為</w:t>
            </w:r>
            <w:proofErr w:type="gramEnd"/>
            <w:r w:rsidRPr="002E2B24">
              <w:rPr>
                <w:rFonts w:ascii="微軟正黑體" w:eastAsia="微軟正黑體" w:hAnsi="微軟正黑體" w:cs="新細明體" w:hint="eastAsia"/>
                <w:color w:val="000000"/>
                <w:spacing w:val="15"/>
                <w:kern w:val="0"/>
                <w:sz w:val="33"/>
                <w:szCs w:val="33"/>
              </w:rPr>
              <w:t>外幣，購買前應特別注意匯率風險。</w:t>
            </w:r>
            <w:r w:rsidRPr="002E2B24">
              <w:rPr>
                <w:rFonts w:ascii="微軟正黑體" w:eastAsia="微軟正黑體" w:hAnsi="微軟正黑體" w:cs="新細明體" w:hint="eastAsia"/>
                <w:color w:val="000000"/>
                <w:spacing w:val="15"/>
                <w:kern w:val="0"/>
                <w:sz w:val="33"/>
                <w:szCs w:val="33"/>
              </w:rPr>
              <w:br/>
              <w:t>五、消費者投保利率變動型保險前應仔細審閱保險公司提供之保單條款樣張，並充分了解保險商品內容後，慎選最適合自己的保險商品。</w:t>
            </w:r>
            <w:r w:rsidRPr="002E2B24">
              <w:rPr>
                <w:rFonts w:ascii="微軟正黑體" w:eastAsia="微軟正黑體" w:hAnsi="微軟正黑體" w:cs="新細明體" w:hint="eastAsia"/>
                <w:color w:val="000000"/>
                <w:spacing w:val="15"/>
                <w:kern w:val="0"/>
                <w:sz w:val="33"/>
                <w:szCs w:val="33"/>
              </w:rPr>
              <w:br/>
              <w:t>    金管會重申，保險業銷售利率變動型保險商品時，應依「人身保險業辦理利率變動型保險商品業務應注意事項」相關規定辦理，且不得以提升宣告利率作為市場競爭手段，於銷售保險商品時，所使用之廣告、文宣及行銷</w:t>
            </w:r>
            <w:proofErr w:type="gramStart"/>
            <w:r w:rsidRPr="002E2B24">
              <w:rPr>
                <w:rFonts w:ascii="微軟正黑體" w:eastAsia="微軟正黑體" w:hAnsi="微軟正黑體" w:cs="新細明體" w:hint="eastAsia"/>
                <w:color w:val="000000"/>
                <w:spacing w:val="15"/>
                <w:kern w:val="0"/>
                <w:sz w:val="33"/>
                <w:szCs w:val="33"/>
              </w:rPr>
              <w:t>話術除不得</w:t>
            </w:r>
            <w:proofErr w:type="gramEnd"/>
            <w:r w:rsidRPr="002E2B24">
              <w:rPr>
                <w:rFonts w:ascii="微軟正黑體" w:eastAsia="微軟正黑體" w:hAnsi="微軟正黑體" w:cs="新細明體" w:hint="eastAsia"/>
                <w:color w:val="000000"/>
                <w:spacing w:val="15"/>
                <w:kern w:val="0"/>
                <w:sz w:val="33"/>
                <w:szCs w:val="33"/>
              </w:rPr>
              <w:t>單獨以宣告利率或保單報酬率等條件與其他金融商品作比較，亦不得以宣告利率調升或僅以投資目的作為銷售訴求，藉以扭曲保險保障之本質而致消費者誤解衍生爭議。</w:t>
            </w:r>
          </w:p>
          <w:p w14:paraId="0F19D5F1" w14:textId="77777777" w:rsidR="002E2B24" w:rsidRPr="002E2B24" w:rsidRDefault="002E2B24" w:rsidP="002E2B24">
            <w:pPr>
              <w:widowControl/>
              <w:spacing w:line="500" w:lineRule="exact"/>
              <w:rPr>
                <w:rFonts w:ascii="標楷體" w:eastAsia="標楷體" w:hAnsi="標楷體" w:cs="新細明體"/>
                <w:b/>
                <w:color w:val="008000"/>
                <w:kern w:val="0"/>
                <w:sz w:val="40"/>
                <w:szCs w:val="40"/>
              </w:rPr>
            </w:pPr>
          </w:p>
          <w:p w14:paraId="2F341C15" w14:textId="77777777" w:rsidR="002E2B24" w:rsidRPr="00A224B1" w:rsidRDefault="002E2B24" w:rsidP="00C064A3">
            <w:pPr>
              <w:pStyle w:val="Web"/>
              <w:shd w:val="clear" w:color="auto" w:fill="FFFFFF"/>
              <w:spacing w:before="0" w:beforeAutospacing="0" w:after="240" w:afterAutospacing="0" w:line="120" w:lineRule="exact"/>
              <w:ind w:firstLineChars="200" w:firstLine="620"/>
              <w:rPr>
                <w:rFonts w:ascii="標楷體" w:eastAsia="標楷體" w:hAnsi="標楷體"/>
                <w:color w:val="000000"/>
                <w:spacing w:val="15"/>
                <w:sz w:val="28"/>
                <w:szCs w:val="28"/>
              </w:rPr>
            </w:pPr>
          </w:p>
          <w:p w14:paraId="7D2630DC" w14:textId="2A4A481C" w:rsidR="002E2B24" w:rsidRPr="00F75267" w:rsidRDefault="002E2B24" w:rsidP="00C064A3">
            <w:pPr>
              <w:widowControl/>
              <w:spacing w:line="500" w:lineRule="exact"/>
              <w:jc w:val="right"/>
              <w:rPr>
                <w:rFonts w:ascii="標楷體" w:eastAsia="標楷體" w:hAnsi="標楷體" w:cs="F4"/>
                <w:color w:val="333333"/>
                <w:kern w:val="0"/>
              </w:rPr>
            </w:pPr>
            <w:r w:rsidRPr="00F75267">
              <w:rPr>
                <w:rFonts w:ascii="標楷體" w:eastAsia="標楷體" w:hAnsi="標楷體" w:cs="F4" w:hint="eastAsia"/>
                <w:color w:val="333333"/>
                <w:kern w:val="0"/>
              </w:rPr>
              <w:t>資料來源：</w:t>
            </w:r>
            <w:r w:rsidRPr="00E74E17">
              <w:rPr>
                <w:rFonts w:ascii="標楷體" w:eastAsia="標楷體" w:hAnsi="標楷體" w:cs="F4" w:hint="eastAsia"/>
                <w:color w:val="333333"/>
                <w:kern w:val="0"/>
              </w:rPr>
              <w:t>行政院消費者保護</w:t>
            </w:r>
            <w:r>
              <w:rPr>
                <w:rFonts w:ascii="標楷體" w:eastAsia="標楷體" w:hAnsi="標楷體" w:cs="F4" w:hint="eastAsia"/>
                <w:color w:val="333333"/>
                <w:kern w:val="0"/>
              </w:rPr>
              <w:t>會</w:t>
            </w:r>
          </w:p>
          <w:p w14:paraId="3D2D62F4" w14:textId="77777777" w:rsidR="002E2B24" w:rsidRPr="005D6E93" w:rsidRDefault="002E2B24" w:rsidP="00C064A3">
            <w:pPr>
              <w:autoSpaceDE w:val="0"/>
              <w:autoSpaceDN w:val="0"/>
              <w:adjustRightInd w:val="0"/>
              <w:spacing w:line="500" w:lineRule="exact"/>
              <w:ind w:firstLineChars="1050" w:firstLine="2940"/>
              <w:rPr>
                <w:rFonts w:ascii="標楷體" w:eastAsia="標楷體" w:hAnsi="標楷體" w:cs="新細明體"/>
                <w:color w:val="0000FF"/>
                <w:kern w:val="0"/>
                <w:sz w:val="28"/>
                <w:szCs w:val="28"/>
              </w:rPr>
            </w:pPr>
            <w:r w:rsidRPr="005D6E93">
              <w:rPr>
                <w:rFonts w:ascii="標楷體" w:eastAsia="標楷體" w:hAnsi="標楷體" w:cs="新細明體" w:hint="eastAsia"/>
                <w:color w:val="0000FF"/>
                <w:kern w:val="0"/>
                <w:sz w:val="28"/>
                <w:szCs w:val="28"/>
              </w:rPr>
              <w:t>雲林縣西螺鎮公所政風室</w:t>
            </w:r>
          </w:p>
        </w:tc>
      </w:tr>
    </w:tbl>
    <w:p w14:paraId="6C497F71" w14:textId="77777777" w:rsidR="001F5788" w:rsidRPr="002E2B24" w:rsidRDefault="001F5788"/>
    <w:sectPr w:rsidR="001F5788" w:rsidRPr="002E2B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A572" w14:textId="77777777" w:rsidR="00FF586E" w:rsidRDefault="00FF586E" w:rsidP="008244E6">
      <w:r>
        <w:separator/>
      </w:r>
    </w:p>
  </w:endnote>
  <w:endnote w:type="continuationSeparator" w:id="0">
    <w:p w14:paraId="28471CDE" w14:textId="77777777" w:rsidR="00FF586E" w:rsidRDefault="00FF586E" w:rsidP="0082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4">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68E3F" w14:textId="77777777" w:rsidR="00FF586E" w:rsidRDefault="00FF586E" w:rsidP="008244E6">
      <w:r>
        <w:separator/>
      </w:r>
    </w:p>
  </w:footnote>
  <w:footnote w:type="continuationSeparator" w:id="0">
    <w:p w14:paraId="66D5D619" w14:textId="77777777" w:rsidR="00FF586E" w:rsidRDefault="00FF586E" w:rsidP="00824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24"/>
    <w:rsid w:val="000D037E"/>
    <w:rsid w:val="001F5788"/>
    <w:rsid w:val="002E2B24"/>
    <w:rsid w:val="005A49CB"/>
    <w:rsid w:val="008244E6"/>
    <w:rsid w:val="0087409C"/>
    <w:rsid w:val="008D0304"/>
    <w:rsid w:val="00C31F8F"/>
    <w:rsid w:val="00FF5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6BA26"/>
  <w15:chartTrackingRefBased/>
  <w15:docId w15:val="{BB4A5B15-0C5C-40DD-B661-B8511093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B24"/>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2E2B24"/>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E2B24"/>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E2B24"/>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E2B24"/>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E2B24"/>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2E2B24"/>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2E2B24"/>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2E2B24"/>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2E2B24"/>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E2B2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E2B2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E2B2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E2B2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E2B24"/>
    <w:rPr>
      <w:rFonts w:eastAsiaTheme="majorEastAsia" w:cstheme="majorBidi"/>
      <w:color w:val="0F4761" w:themeColor="accent1" w:themeShade="BF"/>
    </w:rPr>
  </w:style>
  <w:style w:type="character" w:customStyle="1" w:styleId="60">
    <w:name w:val="標題 6 字元"/>
    <w:basedOn w:val="a0"/>
    <w:link w:val="6"/>
    <w:uiPriority w:val="9"/>
    <w:semiHidden/>
    <w:rsid w:val="002E2B24"/>
    <w:rPr>
      <w:rFonts w:eastAsiaTheme="majorEastAsia" w:cstheme="majorBidi"/>
      <w:color w:val="595959" w:themeColor="text1" w:themeTint="A6"/>
    </w:rPr>
  </w:style>
  <w:style w:type="character" w:customStyle="1" w:styleId="70">
    <w:name w:val="標題 7 字元"/>
    <w:basedOn w:val="a0"/>
    <w:link w:val="7"/>
    <w:uiPriority w:val="9"/>
    <w:semiHidden/>
    <w:rsid w:val="002E2B24"/>
    <w:rPr>
      <w:rFonts w:eastAsiaTheme="majorEastAsia" w:cstheme="majorBidi"/>
      <w:color w:val="595959" w:themeColor="text1" w:themeTint="A6"/>
    </w:rPr>
  </w:style>
  <w:style w:type="character" w:customStyle="1" w:styleId="80">
    <w:name w:val="標題 8 字元"/>
    <w:basedOn w:val="a0"/>
    <w:link w:val="8"/>
    <w:uiPriority w:val="9"/>
    <w:semiHidden/>
    <w:rsid w:val="002E2B24"/>
    <w:rPr>
      <w:rFonts w:eastAsiaTheme="majorEastAsia" w:cstheme="majorBidi"/>
      <w:color w:val="272727" w:themeColor="text1" w:themeTint="D8"/>
    </w:rPr>
  </w:style>
  <w:style w:type="character" w:customStyle="1" w:styleId="90">
    <w:name w:val="標題 9 字元"/>
    <w:basedOn w:val="a0"/>
    <w:link w:val="9"/>
    <w:uiPriority w:val="9"/>
    <w:semiHidden/>
    <w:rsid w:val="002E2B24"/>
    <w:rPr>
      <w:rFonts w:eastAsiaTheme="majorEastAsia" w:cstheme="majorBidi"/>
      <w:color w:val="272727" w:themeColor="text1" w:themeTint="D8"/>
    </w:rPr>
  </w:style>
  <w:style w:type="paragraph" w:styleId="a3">
    <w:name w:val="Title"/>
    <w:basedOn w:val="a"/>
    <w:next w:val="a"/>
    <w:link w:val="a4"/>
    <w:uiPriority w:val="10"/>
    <w:qFormat/>
    <w:rsid w:val="002E2B2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E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B2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2E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B24"/>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2E2B24"/>
    <w:rPr>
      <w:i/>
      <w:iCs/>
      <w:color w:val="404040" w:themeColor="text1" w:themeTint="BF"/>
    </w:rPr>
  </w:style>
  <w:style w:type="paragraph" w:styleId="a9">
    <w:name w:val="List Paragraph"/>
    <w:basedOn w:val="a"/>
    <w:uiPriority w:val="34"/>
    <w:qFormat/>
    <w:rsid w:val="002E2B24"/>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2E2B24"/>
    <w:rPr>
      <w:i/>
      <w:iCs/>
      <w:color w:val="0F4761" w:themeColor="accent1" w:themeShade="BF"/>
    </w:rPr>
  </w:style>
  <w:style w:type="paragraph" w:styleId="ab">
    <w:name w:val="Intense Quote"/>
    <w:basedOn w:val="a"/>
    <w:next w:val="a"/>
    <w:link w:val="ac"/>
    <w:uiPriority w:val="30"/>
    <w:qFormat/>
    <w:rsid w:val="002E2B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2E2B24"/>
    <w:rPr>
      <w:i/>
      <w:iCs/>
      <w:color w:val="0F4761" w:themeColor="accent1" w:themeShade="BF"/>
    </w:rPr>
  </w:style>
  <w:style w:type="character" w:styleId="ad">
    <w:name w:val="Intense Reference"/>
    <w:basedOn w:val="a0"/>
    <w:uiPriority w:val="32"/>
    <w:qFormat/>
    <w:rsid w:val="002E2B24"/>
    <w:rPr>
      <w:b/>
      <w:bCs/>
      <w:smallCaps/>
      <w:color w:val="0F4761" w:themeColor="accent1" w:themeShade="BF"/>
      <w:spacing w:val="5"/>
    </w:rPr>
  </w:style>
  <w:style w:type="paragraph" w:styleId="Web">
    <w:name w:val="Normal (Web)"/>
    <w:basedOn w:val="a"/>
    <w:uiPriority w:val="99"/>
    <w:rsid w:val="002E2B24"/>
    <w:pPr>
      <w:widowControl/>
      <w:spacing w:before="100" w:beforeAutospacing="1" w:after="100" w:afterAutospacing="1"/>
    </w:pPr>
    <w:rPr>
      <w:rFonts w:ascii="新細明體" w:hAnsi="新細明體" w:cs="新細明體"/>
      <w:kern w:val="0"/>
    </w:rPr>
  </w:style>
  <w:style w:type="paragraph" w:styleId="ae">
    <w:name w:val="header"/>
    <w:basedOn w:val="a"/>
    <w:link w:val="af"/>
    <w:uiPriority w:val="99"/>
    <w:unhideWhenUsed/>
    <w:rsid w:val="008244E6"/>
    <w:pPr>
      <w:tabs>
        <w:tab w:val="center" w:pos="4153"/>
        <w:tab w:val="right" w:pos="8306"/>
      </w:tabs>
      <w:snapToGrid w:val="0"/>
    </w:pPr>
    <w:rPr>
      <w:sz w:val="20"/>
      <w:szCs w:val="20"/>
    </w:rPr>
  </w:style>
  <w:style w:type="character" w:customStyle="1" w:styleId="af">
    <w:name w:val="頁首 字元"/>
    <w:basedOn w:val="a0"/>
    <w:link w:val="ae"/>
    <w:uiPriority w:val="99"/>
    <w:rsid w:val="008244E6"/>
    <w:rPr>
      <w:rFonts w:ascii="Times New Roman" w:eastAsia="新細明體" w:hAnsi="Times New Roman" w:cs="Times New Roman"/>
      <w:sz w:val="20"/>
      <w:szCs w:val="20"/>
      <w14:ligatures w14:val="none"/>
    </w:rPr>
  </w:style>
  <w:style w:type="paragraph" w:styleId="af0">
    <w:name w:val="footer"/>
    <w:basedOn w:val="a"/>
    <w:link w:val="af1"/>
    <w:uiPriority w:val="99"/>
    <w:unhideWhenUsed/>
    <w:rsid w:val="008244E6"/>
    <w:pPr>
      <w:tabs>
        <w:tab w:val="center" w:pos="4153"/>
        <w:tab w:val="right" w:pos="8306"/>
      </w:tabs>
      <w:snapToGrid w:val="0"/>
    </w:pPr>
    <w:rPr>
      <w:sz w:val="20"/>
      <w:szCs w:val="20"/>
    </w:rPr>
  </w:style>
  <w:style w:type="character" w:customStyle="1" w:styleId="af1">
    <w:name w:val="頁尾 字元"/>
    <w:basedOn w:val="a0"/>
    <w:link w:val="af0"/>
    <w:uiPriority w:val="99"/>
    <w:rsid w:val="008244E6"/>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829609">
      <w:bodyDiv w:val="1"/>
      <w:marLeft w:val="0"/>
      <w:marRight w:val="0"/>
      <w:marTop w:val="0"/>
      <w:marBottom w:val="0"/>
      <w:divBdr>
        <w:top w:val="none" w:sz="0" w:space="0" w:color="auto"/>
        <w:left w:val="none" w:sz="0" w:space="0" w:color="auto"/>
        <w:bottom w:val="none" w:sz="0" w:space="0" w:color="auto"/>
        <w:right w:val="none" w:sz="0" w:space="0" w:color="auto"/>
      </w:divBdr>
      <w:divsChild>
        <w:div w:id="1342273413">
          <w:marLeft w:val="0"/>
          <w:marRight w:val="0"/>
          <w:marTop w:val="100"/>
          <w:marBottom w:val="100"/>
          <w:divBdr>
            <w:top w:val="none" w:sz="0" w:space="0" w:color="auto"/>
            <w:left w:val="none" w:sz="0" w:space="0" w:color="auto"/>
            <w:bottom w:val="none" w:sz="0" w:space="0" w:color="auto"/>
            <w:right w:val="none" w:sz="0" w:space="0" w:color="auto"/>
          </w:divBdr>
          <w:divsChild>
            <w:div w:id="2090929939">
              <w:marLeft w:val="0"/>
              <w:marRight w:val="0"/>
              <w:marTop w:val="0"/>
              <w:marBottom w:val="10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62A0-CE64-4D1E-B986-B4FB523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使用者05</dc:creator>
  <cp:keywords/>
  <dc:description/>
  <cp:lastModifiedBy>使用者05</cp:lastModifiedBy>
  <cp:revision>4</cp:revision>
  <dcterms:created xsi:type="dcterms:W3CDTF">2024-08-05T03:00:00Z</dcterms:created>
  <dcterms:modified xsi:type="dcterms:W3CDTF">2024-08-12T03:20:00Z</dcterms:modified>
</cp:coreProperties>
</file>