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5A8DD" w14:textId="0377A791" w:rsidR="00A54583" w:rsidRPr="00DC7E83" w:rsidRDefault="00A54583" w:rsidP="00A54583">
      <w:pPr>
        <w:jc w:val="center"/>
      </w:pPr>
      <w:r>
        <w:rPr>
          <w:rFonts w:hint="eastAsia"/>
          <w:color w:val="7030A0"/>
          <w:sz w:val="56"/>
          <w:szCs w:val="56"/>
        </w:rPr>
        <w:t>資訊安全宣導</w:t>
      </w:r>
      <w:r w:rsidR="00E41A55">
        <w:rPr>
          <w:rFonts w:hint="eastAsia"/>
          <w:color w:val="7030A0"/>
          <w:sz w:val="56"/>
          <w:szCs w:val="56"/>
        </w:rPr>
        <w:t xml:space="preserve">  </w:t>
      </w:r>
      <w:r>
        <w:rPr>
          <w:rFonts w:ascii="標楷體" w:eastAsia="標楷體" w:hAnsi="標楷體" w:cs="新細明體" w:hint="eastAsia"/>
          <w:color w:val="215E99" w:themeColor="text2" w:themeTint="BF"/>
          <w:kern w:val="0"/>
          <w:sz w:val="28"/>
          <w:szCs w:val="28"/>
        </w:rPr>
        <w:t>【</w:t>
      </w:r>
      <w:r>
        <w:rPr>
          <w:rFonts w:ascii="標楷體" w:eastAsia="標楷體" w:hAnsi="標楷體" w:cs="新細明體" w:hint="eastAsia"/>
          <w:b/>
          <w:color w:val="215E99" w:themeColor="text2" w:themeTint="BF"/>
          <w:kern w:val="0"/>
          <w:sz w:val="28"/>
          <w:szCs w:val="28"/>
        </w:rPr>
        <w:t>113.9</w:t>
      </w:r>
      <w:r>
        <w:rPr>
          <w:rFonts w:ascii="標楷體" w:eastAsia="標楷體" w:hAnsi="標楷體" w:cs="新細明體" w:hint="eastAsia"/>
          <w:color w:val="215E99" w:themeColor="text2" w:themeTint="BF"/>
          <w:kern w:val="0"/>
          <w:sz w:val="28"/>
          <w:szCs w:val="28"/>
        </w:rPr>
        <w:t>】</w:t>
      </w:r>
    </w:p>
    <w:tbl>
      <w:tblPr>
        <w:tblW w:w="10773" w:type="dxa"/>
        <w:tblInd w:w="-1321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A54583" w14:paraId="5D035187" w14:textId="77777777" w:rsidTr="00E621DF">
        <w:trPr>
          <w:trHeight w:val="11484"/>
        </w:trPr>
        <w:tc>
          <w:tcPr>
            <w:tcW w:w="10773" w:type="dxa"/>
            <w:tcBorders>
              <w:top w:val="thickThinSmallGap" w:sz="24" w:space="0" w:color="E97132" w:themeColor="accent2"/>
              <w:left w:val="thickThinSmallGap" w:sz="24" w:space="0" w:color="E97132" w:themeColor="accent2"/>
              <w:bottom w:val="thickThinSmallGap" w:sz="24" w:space="0" w:color="E97132" w:themeColor="accent2"/>
              <w:right w:val="thickThinSmallGap" w:sz="24" w:space="0" w:color="E97132" w:themeColor="accent2"/>
            </w:tcBorders>
          </w:tcPr>
          <w:p w14:paraId="4764D433" w14:textId="1D9D54D7" w:rsidR="0076099A" w:rsidRPr="0076099A" w:rsidRDefault="0076099A" w:rsidP="0076099A">
            <w:pPr>
              <w:widowControl/>
              <w:shd w:val="clear" w:color="auto" w:fill="F8F8F8"/>
              <w:spacing w:before="100" w:beforeAutospacing="1" w:after="100" w:afterAutospacing="1" w:line="300" w:lineRule="atLeast"/>
              <w:jc w:val="center"/>
              <w:outlineLvl w:val="1"/>
              <w:rPr>
                <w:rFonts w:ascii="Lato" w:hAnsi="Lato" w:cs="新細明體"/>
                <w:b/>
                <w:bCs/>
                <w:color w:val="E97132" w:themeColor="accent2"/>
                <w:kern w:val="0"/>
                <w:sz w:val="36"/>
                <w:szCs w:val="36"/>
              </w:rPr>
            </w:pPr>
            <w:r w:rsidRPr="0076099A">
              <w:rPr>
                <w:rFonts w:ascii="Lato" w:hAnsi="Lato" w:cs="新細明體"/>
                <w:b/>
                <w:bCs/>
                <w:color w:val="E97132" w:themeColor="accent2"/>
                <w:kern w:val="0"/>
                <w:sz w:val="36"/>
                <w:szCs w:val="36"/>
              </w:rPr>
              <w:t>提防假冒政府機關發送之詐騙訊息</w:t>
            </w:r>
          </w:p>
          <w:p w14:paraId="0AF61EC3" w14:textId="1C38BAD9" w:rsidR="00A54583" w:rsidRDefault="00A54583" w:rsidP="00A54583">
            <w:pPr>
              <w:pStyle w:val="Web"/>
              <w:shd w:val="clear" w:color="auto" w:fill="F8F8F8"/>
              <w:spacing w:before="0" w:beforeAutospacing="0" w:after="240" w:afterAutospacing="0" w:line="396" w:lineRule="atLeast"/>
              <w:ind w:left="413"/>
              <w:rPr>
                <w:rFonts w:ascii="Lato" w:hAnsi="Lato"/>
                <w:color w:val="222222"/>
                <w:sz w:val="30"/>
                <w:szCs w:val="30"/>
              </w:rPr>
            </w:pPr>
            <w:r>
              <w:rPr>
                <w:rFonts w:ascii="Lato" w:hAnsi="Lato" w:hint="eastAsia"/>
                <w:color w:val="222222"/>
                <w:sz w:val="30"/>
                <w:szCs w:val="30"/>
              </w:rPr>
              <w:t>近期由於政府宣布將普發現金</w:t>
            </w:r>
            <w:proofErr w:type="gramStart"/>
            <w:r>
              <w:rPr>
                <w:rFonts w:ascii="Lato" w:hAnsi="Lato" w:hint="eastAsia"/>
                <w:color w:val="222222"/>
                <w:sz w:val="30"/>
                <w:szCs w:val="30"/>
              </w:rPr>
              <w:t>還稅於</w:t>
            </w:r>
            <w:proofErr w:type="gramEnd"/>
            <w:r>
              <w:rPr>
                <w:rFonts w:ascii="Lato" w:hAnsi="Lato" w:hint="eastAsia"/>
                <w:color w:val="222222"/>
                <w:sz w:val="30"/>
                <w:szCs w:val="30"/>
              </w:rPr>
              <w:t>民，詐騙集團也利用此訊息發送釣魚簡訊進行詐騙。詐騙簡訊係以假冒政府機關名義，以快速領取現金為由，誘騙民眾點擊簡訊內的釣魚連結。</w:t>
            </w:r>
          </w:p>
          <w:p w14:paraId="3403282D" w14:textId="5A7D10B0" w:rsidR="00A54583" w:rsidRDefault="00A54583" w:rsidP="00A54583">
            <w:pPr>
              <w:pStyle w:val="Web"/>
              <w:shd w:val="clear" w:color="auto" w:fill="F8F8F8"/>
              <w:spacing w:before="0" w:beforeAutospacing="0" w:after="240" w:afterAutospacing="0" w:line="396" w:lineRule="atLeast"/>
              <w:ind w:left="413"/>
              <w:rPr>
                <w:rFonts w:ascii="Lato" w:hAnsi="Lato"/>
                <w:color w:val="222222"/>
                <w:sz w:val="30"/>
                <w:szCs w:val="30"/>
              </w:rPr>
            </w:pPr>
            <w:r>
              <w:rPr>
                <w:rFonts w:ascii="Lato" w:hAnsi="Lato" w:hint="eastAsia"/>
                <w:color w:val="222222"/>
                <w:sz w:val="30"/>
                <w:szCs w:val="30"/>
              </w:rPr>
              <w:t>提醒民眾若收到類似的釣魚簡訊或郵件，請務必特別留意，以免上當受騙而造成個資外</w:t>
            </w:r>
            <w:proofErr w:type="gramStart"/>
            <w:r>
              <w:rPr>
                <w:rFonts w:ascii="Lato" w:hAnsi="Lato" w:hint="eastAsia"/>
                <w:color w:val="222222"/>
                <w:sz w:val="30"/>
                <w:szCs w:val="30"/>
              </w:rPr>
              <w:t>洩</w:t>
            </w:r>
            <w:proofErr w:type="gramEnd"/>
            <w:r>
              <w:rPr>
                <w:rFonts w:ascii="Lato" w:hAnsi="Lato" w:hint="eastAsia"/>
                <w:color w:val="222222"/>
                <w:sz w:val="30"/>
                <w:szCs w:val="30"/>
              </w:rPr>
              <w:t>或財物損失。</w:t>
            </w:r>
          </w:p>
          <w:p w14:paraId="69EB8570" w14:textId="77777777" w:rsidR="003259CD" w:rsidRDefault="003259CD" w:rsidP="00A54583">
            <w:pPr>
              <w:pStyle w:val="Web"/>
              <w:shd w:val="clear" w:color="auto" w:fill="F8F8F8"/>
              <w:spacing w:before="0" w:beforeAutospacing="0" w:after="240" w:afterAutospacing="0" w:line="396" w:lineRule="atLeast"/>
              <w:ind w:left="413"/>
              <w:rPr>
                <w:rFonts w:ascii="Lato" w:hAnsi="Lato"/>
                <w:color w:val="222222"/>
                <w:sz w:val="30"/>
                <w:szCs w:val="30"/>
              </w:rPr>
            </w:pPr>
          </w:p>
          <w:p w14:paraId="78291432" w14:textId="77777777" w:rsidR="00A54583" w:rsidRDefault="00A54583" w:rsidP="00A54583">
            <w:pPr>
              <w:pStyle w:val="Web"/>
              <w:shd w:val="clear" w:color="auto" w:fill="F8F8F8"/>
              <w:spacing w:before="0" w:beforeAutospacing="0" w:after="240" w:afterAutospacing="0" w:line="396" w:lineRule="atLeast"/>
              <w:ind w:left="413"/>
              <w:rPr>
                <w:rFonts w:ascii="Lato" w:hAnsi="Lato"/>
                <w:color w:val="222222"/>
                <w:sz w:val="30"/>
                <w:szCs w:val="30"/>
              </w:rPr>
            </w:pPr>
            <w:r>
              <w:rPr>
                <w:rFonts w:ascii="Lato" w:hAnsi="Lato"/>
                <w:color w:val="222222"/>
                <w:sz w:val="30"/>
                <w:szCs w:val="30"/>
              </w:rPr>
              <w:t>TWCERT/CC</w:t>
            </w:r>
            <w:r>
              <w:rPr>
                <w:rFonts w:ascii="Lato" w:hAnsi="Lato" w:hint="eastAsia"/>
                <w:color w:val="222222"/>
                <w:sz w:val="30"/>
                <w:szCs w:val="30"/>
              </w:rPr>
              <w:t>也提供相關建議措施：</w:t>
            </w:r>
          </w:p>
          <w:p w14:paraId="5AF8B7CD" w14:textId="77777777" w:rsidR="00A54583" w:rsidRDefault="00A54583" w:rsidP="00A54583">
            <w:pPr>
              <w:pStyle w:val="Web"/>
              <w:shd w:val="clear" w:color="auto" w:fill="F8F8F8"/>
              <w:spacing w:before="0" w:beforeAutospacing="0" w:after="240" w:afterAutospacing="0" w:line="396" w:lineRule="atLeast"/>
              <w:ind w:left="413"/>
              <w:rPr>
                <w:rFonts w:ascii="Lato" w:hAnsi="Lato"/>
                <w:color w:val="222222"/>
                <w:sz w:val="30"/>
                <w:szCs w:val="30"/>
              </w:rPr>
            </w:pPr>
            <w:r>
              <w:rPr>
                <w:rFonts w:ascii="Lato" w:hAnsi="Lato"/>
                <w:color w:val="222222"/>
                <w:sz w:val="30"/>
                <w:szCs w:val="30"/>
              </w:rPr>
              <w:t>1</w:t>
            </w:r>
            <w:r>
              <w:rPr>
                <w:rFonts w:ascii="Lato" w:hAnsi="Lato" w:hint="eastAsia"/>
                <w:color w:val="222222"/>
                <w:sz w:val="30"/>
                <w:szCs w:val="30"/>
              </w:rPr>
              <w:t>、政府機關不會以簡訊等方式，透過不明網址通知民眾領錢。</w:t>
            </w:r>
          </w:p>
          <w:p w14:paraId="12B01435" w14:textId="77777777" w:rsidR="00A54583" w:rsidRDefault="00A54583" w:rsidP="00A54583">
            <w:pPr>
              <w:pStyle w:val="Web"/>
              <w:shd w:val="clear" w:color="auto" w:fill="F8F8F8"/>
              <w:spacing w:before="0" w:beforeAutospacing="0" w:after="240" w:afterAutospacing="0" w:line="396" w:lineRule="atLeast"/>
              <w:ind w:left="413"/>
              <w:rPr>
                <w:rFonts w:ascii="Lato" w:hAnsi="Lato"/>
                <w:color w:val="222222"/>
                <w:sz w:val="30"/>
                <w:szCs w:val="30"/>
              </w:rPr>
            </w:pPr>
            <w:r>
              <w:rPr>
                <w:rFonts w:ascii="Lato" w:hAnsi="Lato"/>
                <w:color w:val="222222"/>
                <w:sz w:val="30"/>
                <w:szCs w:val="30"/>
              </w:rPr>
              <w:t>2</w:t>
            </w:r>
            <w:r>
              <w:rPr>
                <w:rFonts w:ascii="Lato" w:hAnsi="Lato" w:hint="eastAsia"/>
                <w:color w:val="222222"/>
                <w:sz w:val="30"/>
                <w:szCs w:val="30"/>
              </w:rPr>
              <w:t>、不要因為好奇心而點擊不明簡訊的網址或連結，進入可疑網站不輸入個資、帳號密碼及金融資訊，更不要進行匯款。</w:t>
            </w:r>
          </w:p>
          <w:p w14:paraId="0803FBD7" w14:textId="77777777" w:rsidR="00A54583" w:rsidRDefault="00A54583" w:rsidP="00A54583">
            <w:pPr>
              <w:pStyle w:val="Web"/>
              <w:shd w:val="clear" w:color="auto" w:fill="F8F8F8"/>
              <w:spacing w:before="0" w:beforeAutospacing="0" w:after="240" w:afterAutospacing="0" w:line="396" w:lineRule="atLeast"/>
              <w:ind w:left="413"/>
              <w:rPr>
                <w:rFonts w:ascii="Lato" w:hAnsi="Lato"/>
                <w:color w:val="222222"/>
                <w:sz w:val="30"/>
                <w:szCs w:val="30"/>
              </w:rPr>
            </w:pPr>
            <w:r>
              <w:rPr>
                <w:rFonts w:ascii="Lato" w:hAnsi="Lato"/>
                <w:color w:val="222222"/>
                <w:sz w:val="30"/>
                <w:szCs w:val="30"/>
              </w:rPr>
              <w:t>3</w:t>
            </w:r>
            <w:r>
              <w:rPr>
                <w:rFonts w:ascii="Lato" w:hAnsi="Lato" w:hint="eastAsia"/>
                <w:color w:val="222222"/>
                <w:sz w:val="30"/>
                <w:szCs w:val="30"/>
              </w:rPr>
              <w:t>、政府機關網站的網址首段會以</w:t>
            </w:r>
            <w:r>
              <w:rPr>
                <w:rFonts w:ascii="Lato" w:hAnsi="Lato"/>
                <w:color w:val="222222"/>
                <w:sz w:val="30"/>
                <w:szCs w:val="30"/>
              </w:rPr>
              <w:t>https</w:t>
            </w:r>
            <w:r>
              <w:rPr>
                <w:rFonts w:ascii="Lato" w:hAnsi="Lato" w:hint="eastAsia"/>
                <w:color w:val="222222"/>
                <w:sz w:val="30"/>
                <w:szCs w:val="30"/>
              </w:rPr>
              <w:t>開頭，並以</w:t>
            </w:r>
            <w:r>
              <w:rPr>
                <w:rFonts w:ascii="Lato" w:hAnsi="Lato"/>
                <w:color w:val="222222"/>
                <w:sz w:val="30"/>
                <w:szCs w:val="30"/>
              </w:rPr>
              <w:t>gov.tw</w:t>
            </w:r>
            <w:r>
              <w:rPr>
                <w:rFonts w:ascii="Lato" w:hAnsi="Lato" w:hint="eastAsia"/>
                <w:color w:val="222222"/>
                <w:sz w:val="30"/>
                <w:szCs w:val="30"/>
              </w:rPr>
              <w:t>結尾。</w:t>
            </w:r>
          </w:p>
          <w:p w14:paraId="1BE11EA1" w14:textId="77777777" w:rsidR="00A54583" w:rsidRDefault="00A54583" w:rsidP="00A54583">
            <w:pPr>
              <w:pStyle w:val="Web"/>
              <w:shd w:val="clear" w:color="auto" w:fill="F8F8F8"/>
              <w:spacing w:before="0" w:beforeAutospacing="0" w:after="240" w:afterAutospacing="0" w:line="396" w:lineRule="atLeast"/>
              <w:ind w:left="413"/>
              <w:rPr>
                <w:rFonts w:ascii="Lato" w:hAnsi="Lato"/>
                <w:color w:val="222222"/>
                <w:sz w:val="30"/>
                <w:szCs w:val="30"/>
              </w:rPr>
            </w:pPr>
            <w:r>
              <w:rPr>
                <w:rFonts w:ascii="Lato" w:hAnsi="Lato"/>
                <w:color w:val="222222"/>
                <w:sz w:val="30"/>
                <w:szCs w:val="30"/>
              </w:rPr>
              <w:t>4</w:t>
            </w:r>
            <w:r>
              <w:rPr>
                <w:rFonts w:ascii="Lato" w:hAnsi="Lato" w:hint="eastAsia"/>
                <w:color w:val="222222"/>
                <w:sz w:val="30"/>
                <w:szCs w:val="30"/>
              </w:rPr>
              <w:t>、建議民眾謹慎處理與</w:t>
            </w:r>
            <w:proofErr w:type="gramStart"/>
            <w:r>
              <w:rPr>
                <w:rFonts w:ascii="Lato" w:hAnsi="Lato" w:hint="eastAsia"/>
                <w:color w:val="222222"/>
                <w:sz w:val="30"/>
                <w:szCs w:val="30"/>
              </w:rPr>
              <w:t>個</w:t>
            </w:r>
            <w:proofErr w:type="gramEnd"/>
            <w:r>
              <w:rPr>
                <w:rFonts w:ascii="Lato" w:hAnsi="Lato" w:hint="eastAsia"/>
                <w:color w:val="222222"/>
                <w:sz w:val="30"/>
                <w:szCs w:val="30"/>
              </w:rPr>
              <w:t>資或金錢相關之資訊，收到可疑簡訊可先撥打</w:t>
            </w:r>
            <w:r>
              <w:rPr>
                <w:rFonts w:ascii="Lato" w:hAnsi="Lato"/>
                <w:color w:val="222222"/>
                <w:sz w:val="30"/>
                <w:szCs w:val="30"/>
              </w:rPr>
              <w:t>165</w:t>
            </w:r>
            <w:r>
              <w:rPr>
                <w:rFonts w:ascii="Lato" w:hAnsi="Lato" w:hint="eastAsia"/>
                <w:color w:val="222222"/>
                <w:sz w:val="30"/>
                <w:szCs w:val="30"/>
              </w:rPr>
              <w:t>反詐騙諮詢專線求證。</w:t>
            </w:r>
          </w:p>
          <w:p w14:paraId="14F3AD95" w14:textId="77777777" w:rsidR="003259CD" w:rsidRDefault="00A54583" w:rsidP="00E621DF">
            <w:pPr>
              <w:pStyle w:val="Web"/>
              <w:shd w:val="clear" w:color="auto" w:fill="FFFFFF"/>
              <w:spacing w:before="0" w:after="240"/>
              <w:rPr>
                <w:rFonts w:ascii="Helvetica" w:hAnsi="Helvetica"/>
                <w:color w:val="000000"/>
                <w:sz w:val="32"/>
                <w:szCs w:val="32"/>
              </w:rPr>
            </w:pPr>
            <w:r>
              <w:rPr>
                <w:rFonts w:ascii="Lato" w:hAnsi="Lato"/>
                <w:color w:val="222222"/>
                <w:sz w:val="30"/>
                <w:szCs w:val="30"/>
              </w:rPr>
              <w:lastRenderedPageBreak/>
              <w:t>5</w:t>
            </w:r>
            <w:r>
              <w:rPr>
                <w:rFonts w:ascii="Lato" w:hAnsi="Lato" w:hint="eastAsia"/>
                <w:color w:val="222222"/>
                <w:sz w:val="30"/>
                <w:szCs w:val="30"/>
              </w:rPr>
              <w:t>、若發現可疑網址，可至</w:t>
            </w:r>
            <w:r>
              <w:rPr>
                <w:rFonts w:ascii="Lato" w:hAnsi="Lato"/>
                <w:color w:val="222222"/>
                <w:sz w:val="30"/>
                <w:szCs w:val="30"/>
              </w:rPr>
              <w:t>TWCERT/CC</w:t>
            </w:r>
            <w:r>
              <w:rPr>
                <w:rFonts w:ascii="Lato" w:hAnsi="Lato" w:hint="eastAsia"/>
                <w:color w:val="222222"/>
                <w:sz w:val="30"/>
                <w:szCs w:val="30"/>
              </w:rPr>
              <w:t>之</w:t>
            </w:r>
            <w:hyperlink r:id="rId5" w:tgtFrame="_blank" w:tooltip="Phishing Check網路釣魚通報(開新視窗)" w:history="1">
              <w:r>
                <w:rPr>
                  <w:rStyle w:val="ae"/>
                  <w:rFonts w:ascii="Lato" w:hAnsi="Lato"/>
                  <w:color w:val="00828B"/>
                  <w:sz w:val="30"/>
                  <w:szCs w:val="30"/>
                </w:rPr>
                <w:t>Phishing Check</w:t>
              </w:r>
              <w:r>
                <w:rPr>
                  <w:rStyle w:val="ae"/>
                  <w:rFonts w:ascii="Lato" w:hAnsi="Lato" w:hint="eastAsia"/>
                  <w:color w:val="00828B"/>
                  <w:sz w:val="30"/>
                  <w:szCs w:val="30"/>
                </w:rPr>
                <w:t>網路釣魚通報</w:t>
              </w:r>
            </w:hyperlink>
            <w:r>
              <w:rPr>
                <w:rFonts w:ascii="Lato" w:hAnsi="Lato" w:hint="eastAsia"/>
                <w:color w:val="222222"/>
                <w:sz w:val="30"/>
                <w:szCs w:val="30"/>
              </w:rPr>
              <w:t>進行通報，</w:t>
            </w:r>
            <w:r>
              <w:rPr>
                <w:rFonts w:ascii="Lato" w:hAnsi="Lato"/>
                <w:color w:val="222222"/>
                <w:sz w:val="30"/>
                <w:szCs w:val="30"/>
              </w:rPr>
              <w:t>TWCERT/CC</w:t>
            </w:r>
            <w:r>
              <w:rPr>
                <w:rFonts w:ascii="Lato" w:hAnsi="Lato" w:hint="eastAsia"/>
                <w:color w:val="222222"/>
                <w:sz w:val="30"/>
                <w:szCs w:val="30"/>
              </w:rPr>
              <w:t>確認後會協助釣魚網站下架服務。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ascii="標楷體" w:eastAsia="標楷體" w:hAnsi="標楷體" w:hint="eastAsia"/>
                <w:color w:val="333333"/>
              </w:rPr>
              <w:t xml:space="preserve"> </w:t>
            </w:r>
            <w:r>
              <w:rPr>
                <w:rFonts w:ascii="Helvetica" w:hAnsi="Helvetica" w:hint="eastAsia"/>
                <w:color w:val="000000"/>
                <w:sz w:val="32"/>
                <w:szCs w:val="32"/>
              </w:rPr>
              <w:t xml:space="preserve">  </w:t>
            </w:r>
          </w:p>
          <w:p w14:paraId="797C405D" w14:textId="696660A0" w:rsidR="00A54583" w:rsidRDefault="003259CD" w:rsidP="00E621DF">
            <w:pPr>
              <w:pStyle w:val="Web"/>
              <w:shd w:val="clear" w:color="auto" w:fill="FFFFFF"/>
              <w:spacing w:before="0" w:after="240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hAnsi="標楷體" w:hint="eastAsia"/>
              </w:rPr>
              <w:t xml:space="preserve">                                             </w:t>
            </w:r>
            <w:r w:rsidR="00A54583" w:rsidRPr="009E7DCC">
              <w:rPr>
                <w:rFonts w:ascii="標楷體" w:eastAsia="標楷體" w:hAnsi="標楷體" w:hint="eastAsia"/>
              </w:rPr>
              <w:t>資料來源：</w:t>
            </w:r>
            <w:r w:rsidR="00A54583">
              <w:rPr>
                <w:rFonts w:ascii="標楷體" w:eastAsia="標楷體" w:hAnsi="標楷體" w:hint="eastAsia"/>
                <w:color w:val="333333"/>
              </w:rPr>
              <w:t>台灣電腦網路危機處理暨協調中心</w:t>
            </w:r>
          </w:p>
          <w:p w14:paraId="7BA49EB4" w14:textId="57014BD8" w:rsidR="00A54583" w:rsidRPr="00A54583" w:rsidRDefault="00A54583" w:rsidP="00A54583">
            <w:pPr>
              <w:pStyle w:val="Web"/>
              <w:shd w:val="clear" w:color="auto" w:fill="FFFFFF"/>
              <w:spacing w:before="0" w:after="240"/>
              <w:jc w:val="center"/>
            </w:pPr>
            <w:r w:rsidRPr="005D6E93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雲林縣西螺鎮公所政風室</w:t>
            </w:r>
          </w:p>
          <w:p w14:paraId="2EBE2247" w14:textId="77777777" w:rsidR="00A54583" w:rsidRPr="00AC4723" w:rsidRDefault="00A54583" w:rsidP="00E621DF">
            <w:pPr>
              <w:spacing w:line="460" w:lineRule="exact"/>
              <w:jc w:val="right"/>
              <w:rPr>
                <w:rFonts w:ascii="標楷體" w:eastAsia="標楷體" w:hAnsi="標楷體"/>
              </w:rPr>
            </w:pPr>
            <w:r w:rsidRPr="009E7DCC">
              <w:rPr>
                <w:rFonts w:ascii="標楷體" w:eastAsia="標楷體" w:hAnsi="標楷體"/>
              </w:rPr>
              <w:t xml:space="preserve"> </w:t>
            </w:r>
          </w:p>
          <w:p w14:paraId="4F35C63F" w14:textId="331C1292" w:rsidR="00A54583" w:rsidRDefault="00A54583" w:rsidP="00E621DF">
            <w:pPr>
              <w:pStyle w:val="Web"/>
              <w:shd w:val="clear" w:color="auto" w:fill="FFFFFF"/>
              <w:spacing w:before="0" w:after="240"/>
              <w:ind w:left="264"/>
              <w:jc w:val="center"/>
              <w:rPr>
                <w:rFonts w:ascii="Helvetica" w:hAnsi="Helvetica"/>
                <w:color w:val="000000"/>
                <w:sz w:val="25"/>
                <w:szCs w:val="25"/>
              </w:rPr>
            </w:pPr>
          </w:p>
        </w:tc>
      </w:tr>
    </w:tbl>
    <w:p w14:paraId="635B7E6F" w14:textId="77777777" w:rsidR="00A54583" w:rsidRPr="00DC7E83" w:rsidRDefault="00A54583" w:rsidP="00A54583"/>
    <w:p w14:paraId="6812DE5E" w14:textId="77777777" w:rsidR="001F5788" w:rsidRPr="00A54583" w:rsidRDefault="001F5788"/>
    <w:sectPr w:rsidR="001F5788" w:rsidRPr="00A545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85E2B"/>
    <w:multiLevelType w:val="hybridMultilevel"/>
    <w:tmpl w:val="2878E44A"/>
    <w:lvl w:ilvl="0" w:tplc="31DAEB08">
      <w:start w:val="7"/>
      <w:numFmt w:val="taiwaneseCountingThousand"/>
      <w:lvlText w:val="%1、"/>
      <w:lvlJc w:val="left"/>
      <w:pPr>
        <w:ind w:left="9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num w:numId="1" w16cid:durableId="168875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583"/>
    <w:rsid w:val="001F5788"/>
    <w:rsid w:val="00256215"/>
    <w:rsid w:val="003259CD"/>
    <w:rsid w:val="00457A4A"/>
    <w:rsid w:val="0076099A"/>
    <w:rsid w:val="00A54583"/>
    <w:rsid w:val="00DE761F"/>
    <w:rsid w:val="00E4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6E3F0"/>
  <w15:chartTrackingRefBased/>
  <w15:docId w15:val="{428F2CE8-D732-48E5-963D-3D5E1955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583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4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58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58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5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58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58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58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58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45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54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5458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54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5458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5458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5458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5458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545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45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54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54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54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5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5458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458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A5458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Hyperlink"/>
    <w:basedOn w:val="a0"/>
    <w:uiPriority w:val="99"/>
    <w:semiHidden/>
    <w:unhideWhenUsed/>
    <w:rsid w:val="00A54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7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ishingcheck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使用者05</dc:creator>
  <cp:keywords/>
  <dc:description/>
  <cp:lastModifiedBy>使用者05</cp:lastModifiedBy>
  <cp:revision>3</cp:revision>
  <dcterms:created xsi:type="dcterms:W3CDTF">2024-09-10T07:41:00Z</dcterms:created>
  <dcterms:modified xsi:type="dcterms:W3CDTF">2024-09-10T08:21:00Z</dcterms:modified>
</cp:coreProperties>
</file>